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</w:p>
    <w:p>
      <w:pPr>
        <w:jc w:val="both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/>
        </w:rPr>
        <w:t>年丹东市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哲学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/>
        </w:rPr>
        <w:t>社会科学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研究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/>
        </w:rPr>
        <w:t>课题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指南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重点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选题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方向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围绕深入贯彻习近平新时代中国特色社会主义思想和党的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二十大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精神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围绕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党的二十大提出的新思想新观点新论断，围绕习近平文化思想、经济思想等，结合丹东实际开展研究阐释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6"/>
        <w:numPr>
          <w:ilvl w:val="0"/>
          <w:numId w:val="2"/>
        </w:numPr>
        <w:ind w:left="-10" w:leftChars="0" w:firstLine="640" w:firstLineChars="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围绕习近平总书记在新时代推动东北全面振兴座谈会上的重要讲话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进行理论研究选题。</w:t>
      </w:r>
    </w:p>
    <w:p>
      <w:pPr>
        <w:pStyle w:val="6"/>
        <w:numPr>
          <w:ilvl w:val="0"/>
          <w:numId w:val="2"/>
        </w:numPr>
        <w:ind w:left="-10" w:leftChars="0" w:firstLine="640" w:firstLineChars="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聚焦全国两会精神，凝练学术研究选题。</w:t>
      </w:r>
    </w:p>
    <w:p>
      <w:pPr>
        <w:pStyle w:val="6"/>
        <w:numPr>
          <w:ilvl w:val="0"/>
          <w:numId w:val="2"/>
        </w:numPr>
        <w:ind w:left="-10" w:leftChars="0" w:firstLine="640" w:firstLineChars="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围绕全面振兴新突破三年行动和建设好新时代“六地”进行选题。</w:t>
      </w:r>
    </w:p>
    <w:p>
      <w:pPr>
        <w:pStyle w:val="6"/>
        <w:numPr>
          <w:ilvl w:val="0"/>
          <w:numId w:val="2"/>
        </w:numPr>
        <w:ind w:left="-10" w:leftChars="0" w:firstLine="64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围绕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丹东市“十四五”规划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和2024年丹东市人民政府工作报告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等方面选题。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应用性对策研究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选题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深化国资国企改革，提高国有企业活力和效率研究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关于建立现代企业制度健全市场化经营机制的对策研究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产学研深度融合助力丹东人才强市战略的对策研究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丹东制造业集群发展问题研究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推动产业园区高质量发展研究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大力发展新兴产业，推进产业创新升级研究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关于加快发展壮大我市民营经济的对策研究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我市中小微企业发展对策研究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关于打造对外开放新前沿的意义、挑战与对策研究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关于东北亚区域合作的对策研究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关于丹东沿海经济带高质量发展研究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我市县域绿色转型发展的对策研究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关于构建东北东部地区综合立体交通体系的对策研究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丹东打造东北亚地区具有国际化水平开放型城市的对策研究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RCEP背景下打造东北亚对外开放新前沿的策略研究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丹东打造东北东部区域性物流中心城市的对策研究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丹东打造省级外贸转型升级基地的对策研究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丹东港口对我市经济发展的拉动作用研究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鸭绿江航道货运通航的对策研究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关于发展新型农村集体经济的对策研究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辽宁省柞蚕产业发展对策研究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加快提升丹东市特色农业品牌知名度问题研究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“央地融合”视角下东北业粮农产业园推进的对策研究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实施现代农业园建设的对策研究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推动乡村产业链条升级问题研究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推进数字产业化和产业数字化问题研究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创建国家级海洋牧场示范区研究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推进海洋产业集聚区和临港经济区建设问题研究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丹东发展海洋经济的对策研究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关于辽东绿色经济区区域协同发展的对策研究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加强以县城为重要载体的城镇化建设问题研究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丹东“十四五”以来国民经济和社会发展情况量化研究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防范化解地方政府债务风险问题研究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丹东数字营商环境建设研究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加快高质量信用体系建设研究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丹东市打造生态宜居营商环境的对策研究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交通运输推动绿色低碳转型升级路径研究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构建绿色产业体系，加快绿色农业、生态工业、现代服务来融合发展研究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冰雪旅游发展对策研究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丹东“夜间经济”文旅融合路径研究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丹东市轻工业振兴路径研究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丹东市制造业企业价值链研究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加强新时代廉洁文化建设问题研究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突发事件网络舆情的风险治理机制研究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丹东文旅产业融合发展研究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关于推进抗美援朝红色文化旅游产业高质量发展研究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鸭绿江流域民俗文化资源整合、开发、利用研究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公共文化数字化建设研究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鸭绿江流域民俗文化资源库建设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丹东工业经济史研究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鸭绿江流域文化地标研究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边境地区民族共同体意识研究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丹东地区抗美援朝遗存的考证与保护利用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丹东红色文旅资源的数字化创意转化与传播研究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抗美援朝出征地历史影像资料挖掘整理与研究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抗美援朝红色文化研究现状与方向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区域图书馆联盟可持续发展研究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提升就业质量的对策研究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提升基层社会治理水平的对策研究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优质医疗资源扩容和区域均衡布局研究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县域基层医疗卫生机构功能优化和合理布局研究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推进职业教育产教融合研究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提升领导干部数字素养的路径研究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推进人才评价体系改革问题研究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加快高水平人才平台建设研究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黑导游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加强乡村医疗卫生体系建设问题研究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大学生心理健康和精神卫生问题研究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青少年儿童心理健康问题研究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警察心理健康教育及援助机制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完善生育支持政策体系，降低生育、养育、教育成本问题研究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推进兴边富民、稳边固边，着力解决边境地区人口“空心化”问题研究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完善生态保护补偿制度研究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丹东山水林田湖草沙系统治理的对策研究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海岸带生态资源价值评估研究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鸭绿江流域生态走廊建设问题研究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农村人居环境整治的对策研究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丹东生活垃圾处理模式的研究及建议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以高质量党建引领高质量发展的对策研究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丹东市哲学社会科学人才队伍建设研究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丹东市哲学社会科学研究基地建设研究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丹东市哲学社会科学科普基地建设研究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哲学社会科学成果转化促进措施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丹东市社科智库建设研究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  <w:rFonts w:ascii="Times New Roman" w:hAnsi="Times New Roman" w:eastAsia="新宋体"/>
      </w:rPr>
      <w:fldChar w:fldCharType="begin"/>
    </w:r>
    <w:r>
      <w:rPr>
        <w:rStyle w:val="5"/>
        <w:rFonts w:ascii="Times New Roman" w:hAnsi="Times New Roman" w:eastAsia="新宋体"/>
      </w:rPr>
      <w:instrText xml:space="preserve">PAGE  </w:instrText>
    </w:r>
    <w:r>
      <w:rPr>
        <w:rStyle w:val="5"/>
        <w:rFonts w:ascii="Times New Roman" w:hAnsi="Times New Roman" w:eastAsia="新宋体"/>
      </w:rPr>
      <w:fldChar w:fldCharType="separate"/>
    </w:r>
    <w:r>
      <w:rPr>
        <w:rStyle w:val="5"/>
        <w:rFonts w:ascii="Times New Roman" w:hAnsi="Times New Roman" w:eastAsia="新宋体"/>
      </w:rPr>
      <w:t>7</w:t>
    </w:r>
    <w:r>
      <w:rPr>
        <w:rStyle w:val="5"/>
        <w:rFonts w:ascii="Times New Roman" w:hAnsi="Times New Roman" w:eastAsia="新宋体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  <w:rFonts w:ascii="Times New Roman" w:hAnsi="Times New Roman" w:eastAsia="新宋体"/>
      </w:rPr>
      <w:fldChar w:fldCharType="begin"/>
    </w:r>
    <w:r>
      <w:rPr>
        <w:rStyle w:val="5"/>
        <w:rFonts w:ascii="Times New Roman" w:hAnsi="Times New Roman" w:eastAsia="新宋体"/>
      </w:rPr>
      <w:instrText xml:space="preserve">PAGE  </w:instrText>
    </w:r>
    <w:r>
      <w:rPr>
        <w:rStyle w:val="5"/>
        <w:rFonts w:ascii="Times New Roman" w:hAnsi="Times New Roman" w:eastAsia="新宋体"/>
      </w:rPr>
      <w:fldChar w:fldCharType="separate"/>
    </w:r>
    <w:r>
      <w:rPr>
        <w:rStyle w:val="5"/>
        <w:rFonts w:ascii="Times New Roman" w:hAnsi="Times New Roman" w:eastAsia="新宋体"/>
        <w:vanish/>
      </w:rPr>
      <w:t xml:space="preserve"> </w:t>
    </w:r>
    <w:r>
      <w:rPr>
        <w:rStyle w:val="5"/>
        <w:rFonts w:ascii="Times New Roman" w:hAnsi="Times New Roman" w:eastAsia="新宋体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E7E4"/>
    <w:multiLevelType w:val="singleLevel"/>
    <w:tmpl w:val="B0F1E7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3ADCD33"/>
    <w:multiLevelType w:val="singleLevel"/>
    <w:tmpl w:val="C3ADCD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12DB6ED"/>
    <w:multiLevelType w:val="singleLevel"/>
    <w:tmpl w:val="F12DB6ED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66234"/>
    <w:rsid w:val="79A6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character" w:styleId="5">
    <w:name w:val="page number"/>
    <w:uiPriority w:val="0"/>
  </w:style>
  <w:style w:type="paragraph" w:customStyle="1" w:styleId="6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2024-03-25T00:38:00Z</dcterms:created>
  <dc:creator>小鱼</dc:creator>
  <cp:lastModifiedBy>小鱼</cp:lastModifiedBy>
  <dcterms:modified xsi:type="dcterms:W3CDTF">2024-03-25T00:39:41Z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30688E688C6249AD8505D9F244E3D4ED</vt:lpwstr>
  </property>
</Properties>
</file>